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20" w:rsidRDefault="00DC6920">
      <w:bookmarkStart w:id="0" w:name="_GoBack"/>
      <w:bookmarkEnd w:id="0"/>
    </w:p>
    <w:p w:rsidR="00DC6920" w:rsidRPr="00577BC8" w:rsidRDefault="00577BC8">
      <w:pPr>
        <w:pStyle w:val="2"/>
        <w:jc w:val="center"/>
        <w:rPr>
          <w:lang w:val="en-US"/>
        </w:rPr>
      </w:pPr>
      <w:r>
        <w:rPr>
          <w:rStyle w:val="FontStyle55"/>
          <w:sz w:val="24"/>
          <w:lang w:val="en-US"/>
        </w:rPr>
        <w:t>Summary</w:t>
      </w:r>
      <w:r w:rsidRPr="00577BC8">
        <w:rPr>
          <w:rStyle w:val="FontStyle55"/>
          <w:sz w:val="24"/>
          <w:lang w:val="en-US"/>
        </w:rPr>
        <w:t xml:space="preserve"> to the work program of the discipline</w:t>
      </w:r>
    </w:p>
    <w:p w:rsidR="00DC6920" w:rsidRPr="00577BC8" w:rsidRDefault="00577BC8">
      <w:pPr>
        <w:jc w:val="center"/>
        <w:rPr>
          <w:rStyle w:val="FontStyle55"/>
          <w:bCs/>
          <w:sz w:val="24"/>
          <w:lang w:val="en-US"/>
        </w:rPr>
      </w:pPr>
      <w:r w:rsidRPr="00577BC8">
        <w:rPr>
          <w:rStyle w:val="FontStyle55"/>
          <w:bCs/>
          <w:sz w:val="24"/>
          <w:lang w:val="en-US"/>
        </w:rPr>
        <w:t>"</w:t>
      </w:r>
      <w:r w:rsidRPr="00577BC8">
        <w:rPr>
          <w:rFonts w:cs="Times New Roman"/>
          <w:b/>
          <w:bCs/>
          <w:lang w:val="en-US"/>
        </w:rPr>
        <w:t>PRACTICE IN PHARMACEUTICAL TECHNOLOGY</w:t>
      </w:r>
      <w:r w:rsidRPr="00577BC8">
        <w:rPr>
          <w:rStyle w:val="FontStyle55"/>
          <w:bCs/>
          <w:sz w:val="24"/>
          <w:lang w:val="en-US"/>
        </w:rPr>
        <w:t>»</w:t>
      </w:r>
    </w:p>
    <w:p w:rsidR="00DC6920" w:rsidRPr="00577BC8" w:rsidRDefault="00DC6920">
      <w:pPr>
        <w:jc w:val="center"/>
        <w:rPr>
          <w:rStyle w:val="FontStyle55"/>
          <w:bCs/>
          <w:sz w:val="24"/>
          <w:lang w:val="en-US"/>
        </w:rPr>
      </w:pPr>
    </w:p>
    <w:p w:rsidR="00DC6920" w:rsidRPr="00577BC8" w:rsidRDefault="00577BC8">
      <w:pPr>
        <w:jc w:val="both"/>
        <w:rPr>
          <w:lang w:val="en-US"/>
        </w:rPr>
      </w:pPr>
      <w:r w:rsidRPr="00577BC8">
        <w:rPr>
          <w:lang w:val="en-US"/>
        </w:rPr>
        <w:t>the main educational program of higher education (specialty) in the specialty 33.05.01 Pharmacy</w:t>
      </w:r>
    </w:p>
    <w:p w:rsidR="00DC6920" w:rsidRPr="00577BC8" w:rsidRDefault="00DC6920">
      <w:pPr>
        <w:rPr>
          <w:lang w:val="en-US"/>
        </w:rPr>
      </w:pPr>
    </w:p>
    <w:p w:rsidR="00DC6920" w:rsidRPr="00577BC8" w:rsidRDefault="00577BC8">
      <w:pPr>
        <w:shd w:val="clear" w:color="auto" w:fill="FFFFFF"/>
        <w:ind w:firstLine="567"/>
        <w:jc w:val="both"/>
        <w:rPr>
          <w:rFonts w:cs="Times New Roman"/>
          <w:lang w:val="en-US"/>
        </w:rPr>
      </w:pPr>
      <w:r w:rsidRPr="00577BC8">
        <w:rPr>
          <w:b/>
          <w:lang w:val="en-US"/>
        </w:rPr>
        <w:t>1. The purpose of the internship</w:t>
      </w:r>
      <w:r w:rsidRPr="00577BC8">
        <w:rPr>
          <w:rFonts w:cs="Times New Roman"/>
          <w:lang w:val="en-US"/>
        </w:rPr>
        <w:t>– participation in the formation of:</w:t>
      </w:r>
    </w:p>
    <w:p w:rsidR="00DC6920" w:rsidRPr="00577BC8" w:rsidRDefault="00577BC8">
      <w:pPr>
        <w:pStyle w:val="a8"/>
        <w:numPr>
          <w:ilvl w:val="0"/>
          <w:numId w:val="5"/>
        </w:numPr>
        <w:ind w:left="993"/>
        <w:jc w:val="both"/>
        <w:rPr>
          <w:lang w:val="en-US"/>
        </w:rPr>
      </w:pPr>
      <w:r w:rsidRPr="00577BC8">
        <w:rPr>
          <w:sz w:val="24"/>
          <w:szCs w:val="24"/>
          <w:lang w:val="en-US"/>
        </w:rPr>
        <w:t>general professional competencies (GPC-1 (1.1-1.4), GPC - 2 (2.2), GPC - 6 (6.2-6.3);</w:t>
      </w:r>
    </w:p>
    <w:p w:rsidR="00DC6920" w:rsidRDefault="00577BC8">
      <w:pPr>
        <w:pStyle w:val="a8"/>
        <w:numPr>
          <w:ilvl w:val="0"/>
          <w:numId w:val="5"/>
        </w:numPr>
        <w:ind w:left="9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competencies</w:t>
      </w:r>
      <w:proofErr w:type="spellEnd"/>
      <w:r>
        <w:rPr>
          <w:sz w:val="24"/>
          <w:szCs w:val="24"/>
        </w:rPr>
        <w:t xml:space="preserve"> (PC-1 (1.1-1.4))).</w:t>
      </w:r>
    </w:p>
    <w:p w:rsidR="00577BC8" w:rsidRPr="00605BE0" w:rsidRDefault="00577BC8" w:rsidP="00577BC8">
      <w:pPr>
        <w:tabs>
          <w:tab w:val="left" w:pos="709"/>
        </w:tabs>
        <w:ind w:firstLine="709"/>
        <w:jc w:val="both"/>
        <w:rPr>
          <w:rStyle w:val="FontStyle55"/>
          <w:bCs/>
          <w:sz w:val="24"/>
          <w:lang w:val="en-US"/>
        </w:rPr>
      </w:pPr>
      <w:r w:rsidRPr="00577BC8">
        <w:rPr>
          <w:rStyle w:val="FontStyle55"/>
          <w:bCs/>
          <w:sz w:val="24"/>
          <w:lang w:val="en-US"/>
        </w:rPr>
        <w:t>2.</w:t>
      </w:r>
      <w:r w:rsidRPr="00577BC8">
        <w:rPr>
          <w:rStyle w:val="FontStyle55"/>
          <w:b w:val="0"/>
          <w:sz w:val="24"/>
          <w:lang w:val="en-US"/>
        </w:rPr>
        <w:tab/>
      </w:r>
      <w:r w:rsidRPr="00605BE0">
        <w:rPr>
          <w:rStyle w:val="FontStyle55"/>
          <w:bCs/>
          <w:sz w:val="24"/>
          <w:lang w:val="en-US"/>
        </w:rPr>
        <w:t>The place of discipline in the structure of the OOP</w:t>
      </w:r>
    </w:p>
    <w:p w:rsidR="00577BC8" w:rsidRDefault="00577BC8" w:rsidP="00577BC8">
      <w:pPr>
        <w:tabs>
          <w:tab w:val="left" w:pos="709"/>
        </w:tabs>
        <w:ind w:firstLine="709"/>
        <w:jc w:val="both"/>
        <w:rPr>
          <w:rStyle w:val="FontStyle55"/>
          <w:bCs/>
          <w:lang w:val="en"/>
        </w:rPr>
      </w:pPr>
      <w:r w:rsidRPr="00605BE0">
        <w:rPr>
          <w:rStyle w:val="FontStyle54"/>
          <w:b/>
          <w:sz w:val="24"/>
          <w:lang w:val="en-US"/>
        </w:rPr>
        <w:t>2.1.</w:t>
      </w:r>
      <w:r w:rsidRPr="00605BE0">
        <w:rPr>
          <w:rStyle w:val="WW8Num1z0"/>
          <w:rFonts w:cs="Times New Roman"/>
          <w:bCs/>
          <w:lang w:val="en"/>
        </w:rPr>
        <w:t></w:t>
      </w:r>
      <w:r w:rsidRPr="003F2247">
        <w:rPr>
          <w:rStyle w:val="FontStyle55"/>
          <w:bCs/>
          <w:lang w:val="en"/>
        </w:rPr>
        <w:t>Position of the academic discipline in the structure of the General Educational Program (GEP).</w:t>
      </w:r>
    </w:p>
    <w:p w:rsidR="00DC6920" w:rsidRPr="00577BC8" w:rsidRDefault="00577BC8" w:rsidP="00577BC8">
      <w:pPr>
        <w:tabs>
          <w:tab w:val="left" w:pos="709"/>
        </w:tabs>
        <w:ind w:firstLine="709"/>
        <w:jc w:val="both"/>
        <w:rPr>
          <w:rFonts w:cs="Times New Roman"/>
          <w:lang w:val="en-US"/>
        </w:rPr>
      </w:pPr>
      <w:r w:rsidRPr="00577BC8">
        <w:rPr>
          <w:rFonts w:cs="Times New Roman"/>
          <w:lang w:val="en-US"/>
        </w:rPr>
        <w:t xml:space="preserve">The practice refers to Block 2 of the PEP VO of the specialist in the specialty 33.05.01 Pharmacy, conducted on the 4th year in the </w:t>
      </w:r>
      <w:r>
        <w:rPr>
          <w:rFonts w:cs="Times New Roman"/>
          <w:lang w:val="en-US"/>
        </w:rPr>
        <w:t>9</w:t>
      </w:r>
      <w:r w:rsidRPr="00577BC8">
        <w:rPr>
          <w:rFonts w:cs="Times New Roman"/>
          <w:lang w:val="en-US"/>
        </w:rPr>
        <w:t>th semester according to the schedule.</w:t>
      </w:r>
    </w:p>
    <w:p w:rsidR="00DC6920" w:rsidRPr="00577BC8" w:rsidRDefault="00DC6920">
      <w:pPr>
        <w:tabs>
          <w:tab w:val="left" w:pos="709"/>
        </w:tabs>
        <w:ind w:firstLine="539"/>
        <w:jc w:val="both"/>
        <w:rPr>
          <w:rStyle w:val="FontStyle54"/>
          <w:b/>
          <w:sz w:val="24"/>
          <w:lang w:val="en-US"/>
        </w:rPr>
      </w:pPr>
    </w:p>
    <w:p w:rsidR="00DC6920" w:rsidRPr="00577BC8" w:rsidRDefault="00577BC8">
      <w:pPr>
        <w:ind w:firstLine="709"/>
        <w:rPr>
          <w:b/>
          <w:lang w:val="en-US"/>
        </w:rPr>
      </w:pPr>
      <w:r w:rsidRPr="00577BC8">
        <w:rPr>
          <w:b/>
          <w:lang w:val="en-US"/>
        </w:rPr>
        <w:t>3. Requirements for the results of mastering the program of the discipline (module) for the formation of competencies</w:t>
      </w:r>
    </w:p>
    <w:p w:rsidR="00DC6920" w:rsidRPr="00577BC8" w:rsidRDefault="00577BC8">
      <w:pPr>
        <w:tabs>
          <w:tab w:val="left" w:pos="708"/>
          <w:tab w:val="right" w:pos="9639"/>
        </w:tabs>
        <w:ind w:firstLine="539"/>
        <w:jc w:val="both"/>
        <w:rPr>
          <w:lang w:val="en-US"/>
        </w:rPr>
      </w:pPr>
      <w:r w:rsidRPr="00577BC8">
        <w:rPr>
          <w:lang w:val="en-US"/>
        </w:rPr>
        <w:t>The study of the discipline is aimed at developing the following universal (UC) and/or general professional (OPK) or/and professional (PC) competencies among students:</w:t>
      </w:r>
    </w:p>
    <w:p w:rsidR="00DC6920" w:rsidRPr="00577BC8" w:rsidRDefault="00DC6920">
      <w:pPr>
        <w:tabs>
          <w:tab w:val="left" w:pos="708"/>
          <w:tab w:val="right" w:pos="9639"/>
        </w:tabs>
        <w:ind w:firstLine="539"/>
        <w:jc w:val="both"/>
        <w:rPr>
          <w:lang w:val="en-US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148"/>
        <w:gridCol w:w="1901"/>
        <w:gridCol w:w="1901"/>
        <w:gridCol w:w="1649"/>
        <w:gridCol w:w="1820"/>
        <w:gridCol w:w="1562"/>
      </w:tblGrid>
      <w:tr w:rsidR="00DC6920" w:rsidRPr="00577BC8" w:rsidTr="00577BC8">
        <w:trPr>
          <w:trHeight w:val="340"/>
          <w:jc w:val="center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p/n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Competency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577BC8">
              <w:rPr>
                <w:rFonts w:cs="Times New Roman"/>
                <w:sz w:val="20"/>
                <w:szCs w:val="20"/>
                <w:lang w:val="en-US"/>
              </w:rPr>
              <w:t>The content of the competence (or part of it)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577BC8">
              <w:rPr>
                <w:rFonts w:cs="Times New Roman"/>
                <w:bCs/>
                <w:sz w:val="20"/>
                <w:szCs w:val="20"/>
                <w:lang w:val="en-US"/>
              </w:rPr>
              <w:t>Code and name of the indicator of achievement of competence</w:t>
            </w: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577BC8">
              <w:rPr>
                <w:rFonts w:cs="Times New Roman"/>
                <w:sz w:val="20"/>
                <w:szCs w:val="20"/>
                <w:lang w:val="en-US"/>
              </w:rPr>
              <w:t>As a result of studying the discipline, students should:</w:t>
            </w:r>
          </w:p>
        </w:tc>
      </w:tr>
      <w:tr w:rsidR="00577BC8" w:rsidTr="00577BC8">
        <w:trPr>
          <w:trHeight w:val="340"/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BC8" w:rsidRPr="00577BC8" w:rsidRDefault="00577BC8" w:rsidP="00577BC8">
            <w:pPr>
              <w:tabs>
                <w:tab w:val="left" w:pos="708"/>
                <w:tab w:val="right" w:leader="underscore" w:pos="9639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BC8" w:rsidRPr="00577BC8" w:rsidRDefault="00577BC8" w:rsidP="00577BC8">
            <w:pPr>
              <w:tabs>
                <w:tab w:val="left" w:pos="708"/>
                <w:tab w:val="right" w:leader="underscore" w:pos="9639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BC8" w:rsidRPr="00577BC8" w:rsidRDefault="00577BC8" w:rsidP="00577BC8">
            <w:pPr>
              <w:tabs>
                <w:tab w:val="left" w:pos="708"/>
                <w:tab w:val="right" w:leader="underscore" w:pos="9639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BC8" w:rsidRPr="00577BC8" w:rsidRDefault="00577BC8" w:rsidP="00577BC8">
            <w:pPr>
              <w:tabs>
                <w:tab w:val="left" w:pos="708"/>
                <w:tab w:val="right" w:leader="underscore" w:pos="9639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BC8" w:rsidRDefault="00577BC8" w:rsidP="00577BC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know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BC8" w:rsidRDefault="00577BC8" w:rsidP="00577BC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be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able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BC8" w:rsidRPr="00605BE0" w:rsidRDefault="00577BC8" w:rsidP="00577BC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process</w:t>
            </w:r>
          </w:p>
        </w:tc>
      </w:tr>
      <w:tr w:rsidR="00DC6920" w:rsidRPr="00577BC8" w:rsidTr="00577BC8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DC6920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708"/>
                <w:tab w:val="right" w:leader="underscore" w:pos="9639"/>
              </w:tabs>
              <w:autoSpaceDE/>
              <w:snapToGrid w:val="0"/>
              <w:ind w:left="0" w:firstLine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rFonts w:cs="Times New Roman"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iCs/>
                <w:sz w:val="20"/>
                <w:szCs w:val="20"/>
                <w:lang w:val="en-US"/>
              </w:rPr>
              <w:t>GPC - 1</w:t>
            </w:r>
          </w:p>
          <w:p w:rsidR="00DC6920" w:rsidRDefault="00DC6920">
            <w:pPr>
              <w:tabs>
                <w:tab w:val="left" w:pos="708"/>
                <w:tab w:val="right" w:leader="underscore" w:pos="9639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rFonts w:cs="Times New Roman"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iCs/>
                <w:sz w:val="20"/>
                <w:szCs w:val="20"/>
                <w:lang w:val="en-US"/>
              </w:rPr>
              <w:t>GPC</w:t>
            </w:r>
            <w:r w:rsidRPr="00577BC8">
              <w:rPr>
                <w:sz w:val="20"/>
                <w:szCs w:val="20"/>
                <w:lang w:val="en-US"/>
              </w:rPr>
              <w:t xml:space="preserve"> -1. Able to use basic biological, </w:t>
            </w:r>
            <w:proofErr w:type="spellStart"/>
            <w:r w:rsidRPr="00577BC8">
              <w:rPr>
                <w:sz w:val="20"/>
                <w:szCs w:val="20"/>
                <w:lang w:val="en-US"/>
              </w:rPr>
              <w:t>physico</w:t>
            </w:r>
            <w:proofErr w:type="spellEnd"/>
            <w:r w:rsidRPr="00577BC8">
              <w:rPr>
                <w:sz w:val="20"/>
                <w:szCs w:val="20"/>
                <w:lang w:val="en-US"/>
              </w:rPr>
              <w:t>-chemical, chemical, mathematical methods for the development, research and examination of medicines, the manufacture of medicines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  <w:r w:rsidRPr="00577BC8">
              <w:rPr>
                <w:iCs/>
                <w:sz w:val="20"/>
                <w:szCs w:val="20"/>
                <w:lang w:val="en-US"/>
              </w:rPr>
              <w:t>GPC-1.1. Applies the main biological methods of analysis for the development, research and examination of medicines and medicinal plant materials</w:t>
            </w:r>
          </w:p>
          <w:p w:rsidR="00DC6920" w:rsidRPr="00577BC8" w:rsidRDefault="00DC6920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</w:p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  <w:r w:rsidRPr="00577BC8">
              <w:rPr>
                <w:iCs/>
                <w:sz w:val="20"/>
                <w:szCs w:val="20"/>
                <w:lang w:val="en-US"/>
              </w:rPr>
              <w:t xml:space="preserve">GPC-1.2. Applies basic </w:t>
            </w:r>
            <w:proofErr w:type="spellStart"/>
            <w:r w:rsidRPr="00577BC8">
              <w:rPr>
                <w:iCs/>
                <w:sz w:val="20"/>
                <w:szCs w:val="20"/>
                <w:lang w:val="en-US"/>
              </w:rPr>
              <w:t>physico</w:t>
            </w:r>
            <w:proofErr w:type="spellEnd"/>
            <w:r w:rsidRPr="00577BC8">
              <w:rPr>
                <w:iCs/>
                <w:sz w:val="20"/>
                <w:szCs w:val="20"/>
                <w:lang w:val="en-US"/>
              </w:rPr>
              <w:t>-chemical and chemical methods of analysis for the development, research and examination of medicines and medicinal herbal raw materials</w:t>
            </w:r>
          </w:p>
          <w:p w:rsidR="00DC6920" w:rsidRPr="00577BC8" w:rsidRDefault="00DC6920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</w:p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  <w:r w:rsidRPr="00577BC8">
              <w:rPr>
                <w:iCs/>
                <w:sz w:val="20"/>
                <w:szCs w:val="20"/>
                <w:lang w:val="en-US"/>
              </w:rPr>
              <w:t>GPC-1.3. Applies the main methods of physical and chemical analysis in the manufacture of medicines</w:t>
            </w:r>
          </w:p>
          <w:p w:rsidR="00DC6920" w:rsidRPr="00577BC8" w:rsidRDefault="00DC6920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</w:p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  <w:r w:rsidRPr="00577BC8">
              <w:rPr>
                <w:iCs/>
                <w:sz w:val="20"/>
                <w:szCs w:val="20"/>
                <w:lang w:val="en-US"/>
              </w:rPr>
              <w:t xml:space="preserve">GPC-1.4. Applies mathematical methods and performs mathematical processing of data </w:t>
            </w:r>
            <w:r w:rsidRPr="00577BC8">
              <w:rPr>
                <w:iCs/>
                <w:sz w:val="20"/>
                <w:szCs w:val="20"/>
                <w:lang w:val="en-US"/>
              </w:rPr>
              <w:lastRenderedPageBreak/>
              <w:t>obtained during the development of medicines, as well as research and examination of medicines and medicinal plant materials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pStyle w:val="a8"/>
              <w:widowControl w:val="0"/>
              <w:numPr>
                <w:ilvl w:val="0"/>
                <w:numId w:val="2"/>
              </w:numPr>
              <w:ind w:left="15" w:hanging="15"/>
              <w:rPr>
                <w:lang w:val="en-US"/>
              </w:rPr>
            </w:pPr>
            <w:r w:rsidRPr="00577BC8">
              <w:rPr>
                <w:sz w:val="20"/>
                <w:lang w:val="en-US"/>
              </w:rPr>
              <w:lastRenderedPageBreak/>
              <w:t xml:space="preserve">technology of dosage forms obtained under the conditions of pharmaceutical production: powders, collections, granules, capsules, </w:t>
            </w:r>
            <w:proofErr w:type="spellStart"/>
            <w:r w:rsidRPr="00577BC8">
              <w:rPr>
                <w:sz w:val="20"/>
                <w:lang w:val="en-US"/>
              </w:rPr>
              <w:t>microgranules</w:t>
            </w:r>
            <w:proofErr w:type="spellEnd"/>
            <w:r w:rsidRPr="00577BC8">
              <w:rPr>
                <w:sz w:val="20"/>
                <w:lang w:val="en-US"/>
              </w:rPr>
              <w:t xml:space="preserve">, microcapsules, </w:t>
            </w:r>
            <w:proofErr w:type="spellStart"/>
            <w:r w:rsidRPr="00577BC8">
              <w:rPr>
                <w:sz w:val="20"/>
                <w:lang w:val="en-US"/>
              </w:rPr>
              <w:t>dragees</w:t>
            </w:r>
            <w:proofErr w:type="spellEnd"/>
            <w:r w:rsidRPr="00577BC8">
              <w:rPr>
                <w:sz w:val="20"/>
                <w:lang w:val="en-US"/>
              </w:rPr>
              <w:t xml:space="preserve">, tablets, aqueous solutions for internal and external use, solutions in viscous and volatile solvents, syrups, aromatic waters, tinctures, extracts , ophthalmic dosage forms, solutions for injections and infusions, suspensions for enteral and parenteral use, emulsions for enteral and parenteral use, </w:t>
            </w:r>
            <w:r w:rsidRPr="00577BC8">
              <w:rPr>
                <w:sz w:val="20"/>
                <w:lang w:val="en-US"/>
              </w:rPr>
              <w:lastRenderedPageBreak/>
              <w:t>ointments, suppositories, patches, pencils, films, aerosols;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2"/>
              </w:numPr>
              <w:ind w:left="15" w:hanging="15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 xml:space="preserve">technology for the manufacture of medicines in a pharmacy: powders, aqueous solutions for internal and external use, solutions in viscous and volatile solvents, ophthalmic dosage forms, solutions for injections and infusions, suspensions for </w:t>
            </w:r>
            <w:proofErr w:type="spellStart"/>
            <w:r w:rsidRPr="00577BC8">
              <w:rPr>
                <w:sz w:val="20"/>
                <w:lang w:val="en-US"/>
              </w:rPr>
              <w:t>entheal</w:t>
            </w:r>
            <w:proofErr w:type="spellEnd"/>
            <w:r w:rsidRPr="00577BC8">
              <w:rPr>
                <w:sz w:val="20"/>
                <w:lang w:val="en-US"/>
              </w:rPr>
              <w:t xml:space="preserve"> and parenteral use, emulsions, aqueous extracts from medicinal plant raw materials, complex combined preparations with a liquid dispersion medium, ointments, suppositories;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lastRenderedPageBreak/>
              <w:t>draw up basic technological and instrumental schemes for the production of finished medicines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draw up a material balance and carry out calculations taking into account the consumption rates of the entire technological process by stages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draw up a technological section of the industrial regulation for the production of finished dosage forms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carry out step-by-step control at the stages of manufacturing the finished product and during the holiday;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 xml:space="preserve">to standardize DF in terms of technological and biopharmaceutical indicators in </w:t>
            </w:r>
            <w:r w:rsidRPr="00577BC8">
              <w:rPr>
                <w:sz w:val="20"/>
                <w:lang w:val="en-US"/>
              </w:rPr>
              <w:lastRenderedPageBreak/>
              <w:t>accordance with the current normative documents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make fragments of ND on LF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work independently with educational and reference literature;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ensure compliance with the rules of industrial hygiene, environmental protection, labor, safety</w:t>
            </w:r>
          </w:p>
          <w:p w:rsidR="00DC6920" w:rsidRPr="00577BC8" w:rsidRDefault="00DC6920">
            <w:pPr>
              <w:tabs>
                <w:tab w:val="left" w:pos="709"/>
              </w:tabs>
              <w:ind w:firstLine="539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lastRenderedPageBreak/>
              <w:t>in the case of use in the manufacture of drugs that are subject to quantitative accounting, registration of the reverse side of the prescription)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basic information transformation technologies: text, spreadsheet editors;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technique of working on the Internet for professional activities;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 xml:space="preserve">skills in compiling technological sections of industrial regulations for the production of finished dosage forms, including technological and </w:t>
            </w:r>
            <w:r w:rsidRPr="00577BC8">
              <w:rPr>
                <w:sz w:val="20"/>
                <w:lang w:val="en-US"/>
              </w:rPr>
              <w:lastRenderedPageBreak/>
              <w:t>instrumental schemes for the production of finished dosage forms;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develop an accounting policy, keep records of inventory items: cash and settlements, prepare reports for internal and external users of accounting information</w:t>
            </w:r>
          </w:p>
          <w:p w:rsidR="00DC6920" w:rsidRPr="00577BC8" w:rsidRDefault="00DC6920">
            <w:pPr>
              <w:tabs>
                <w:tab w:val="left" w:pos="931"/>
              </w:tabs>
              <w:ind w:left="227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DC6920" w:rsidRPr="00577BC8" w:rsidTr="00577BC8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DC6920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708"/>
                <w:tab w:val="right" w:leader="underscore" w:pos="9639"/>
              </w:tabs>
              <w:autoSpaceDE/>
              <w:snapToGrid w:val="0"/>
              <w:ind w:left="0" w:firstLine="0"/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  <w:lang w:val="en-US"/>
              </w:rPr>
              <w:t>GPC</w:t>
            </w:r>
            <w:r>
              <w:rPr>
                <w:rFonts w:cs="Times New Roman"/>
                <w:iCs/>
                <w:sz w:val="20"/>
                <w:szCs w:val="20"/>
              </w:rPr>
              <w:t xml:space="preserve"> -2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  <w:lang w:val="en-US"/>
              </w:rPr>
            </w:pPr>
            <w:r w:rsidRPr="00577BC8">
              <w:rPr>
                <w:sz w:val="20"/>
                <w:szCs w:val="20"/>
                <w:lang w:val="en-US"/>
              </w:rPr>
              <w:t xml:space="preserve">Able to apply knowledge about </w:t>
            </w:r>
            <w:proofErr w:type="spellStart"/>
            <w:r w:rsidRPr="00577BC8">
              <w:rPr>
                <w:sz w:val="20"/>
                <w:szCs w:val="20"/>
                <w:lang w:val="en-US"/>
              </w:rPr>
              <w:t>morphofunctional</w:t>
            </w:r>
            <w:proofErr w:type="spellEnd"/>
            <w:r w:rsidRPr="00577BC8">
              <w:rPr>
                <w:sz w:val="20"/>
                <w:szCs w:val="20"/>
                <w:lang w:val="en-US"/>
              </w:rPr>
              <w:t xml:space="preserve"> features, physiological states and pathological processes in the human body to solve professional problems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  <w:r w:rsidRPr="00577BC8">
              <w:rPr>
                <w:sz w:val="20"/>
                <w:szCs w:val="20"/>
                <w:lang w:val="en-US"/>
              </w:rPr>
              <w:t xml:space="preserve">GPC-2.2. Explains the main and side effects of drugs, the effects of their combined use and interaction with food, taking into account </w:t>
            </w:r>
            <w:proofErr w:type="spellStart"/>
            <w:r w:rsidRPr="00577BC8">
              <w:rPr>
                <w:sz w:val="20"/>
                <w:szCs w:val="20"/>
                <w:lang w:val="en-US"/>
              </w:rPr>
              <w:t>morphofunctional</w:t>
            </w:r>
            <w:proofErr w:type="spellEnd"/>
            <w:r w:rsidRPr="00577BC8">
              <w:rPr>
                <w:sz w:val="20"/>
                <w:szCs w:val="20"/>
                <w:lang w:val="en-US"/>
              </w:rPr>
              <w:t xml:space="preserve"> features, physiological conditions and pathological processes in the human body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pStyle w:val="a8"/>
              <w:widowControl w:val="0"/>
              <w:numPr>
                <w:ilvl w:val="0"/>
                <w:numId w:val="2"/>
              </w:numPr>
              <w:ind w:left="15" w:hanging="15"/>
              <w:rPr>
                <w:lang w:val="en-US"/>
              </w:rPr>
            </w:pPr>
            <w:r w:rsidRPr="00577BC8">
              <w:rPr>
                <w:sz w:val="20"/>
                <w:lang w:val="en-US"/>
              </w:rPr>
              <w:t xml:space="preserve">technology of dosage forms obtained under the conditions of pharmaceutical production: powders, collections, granules, capsules, </w:t>
            </w:r>
            <w:proofErr w:type="spellStart"/>
            <w:r w:rsidRPr="00577BC8">
              <w:rPr>
                <w:sz w:val="20"/>
                <w:lang w:val="en-US"/>
              </w:rPr>
              <w:t>microgranules</w:t>
            </w:r>
            <w:proofErr w:type="spellEnd"/>
            <w:r w:rsidRPr="00577BC8">
              <w:rPr>
                <w:sz w:val="20"/>
                <w:lang w:val="en-US"/>
              </w:rPr>
              <w:t xml:space="preserve">, microcapsules, </w:t>
            </w:r>
            <w:proofErr w:type="spellStart"/>
            <w:r w:rsidRPr="00577BC8">
              <w:rPr>
                <w:sz w:val="20"/>
                <w:lang w:val="en-US"/>
              </w:rPr>
              <w:t>dragees</w:t>
            </w:r>
            <w:proofErr w:type="spellEnd"/>
            <w:r w:rsidRPr="00577BC8">
              <w:rPr>
                <w:sz w:val="20"/>
                <w:lang w:val="en-US"/>
              </w:rPr>
              <w:t xml:space="preserve">, tablets, aqueous solutions for internal and external use, solutions in viscous and volatile solvents, syrups, aromatic waters, tinctures, extracts , ophthalmic dosage forms, solutions for </w:t>
            </w:r>
            <w:r w:rsidRPr="00577BC8">
              <w:rPr>
                <w:sz w:val="20"/>
                <w:lang w:val="en-US"/>
              </w:rPr>
              <w:lastRenderedPageBreak/>
              <w:t>injections and infusions, suspensions for enteral and parenteral use, emulsions for enteral and parenteral use, ointments, suppositories, patches, pencils, films, aerosols;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2"/>
              </w:numPr>
              <w:ind w:left="15" w:hanging="15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 xml:space="preserve">technology for the manufacture of medicines in a pharmacy: powders, aqueous solutions for internal and external use, solutions in viscous and volatile solvents, ophthalmic dosage forms, solutions for injections and infusions, suspensions for </w:t>
            </w:r>
            <w:proofErr w:type="spellStart"/>
            <w:r w:rsidRPr="00577BC8">
              <w:rPr>
                <w:sz w:val="20"/>
                <w:lang w:val="en-US"/>
              </w:rPr>
              <w:t>entheal</w:t>
            </w:r>
            <w:proofErr w:type="spellEnd"/>
            <w:r w:rsidRPr="00577BC8">
              <w:rPr>
                <w:sz w:val="20"/>
                <w:lang w:val="en-US"/>
              </w:rPr>
              <w:t xml:space="preserve"> and parenteral use, emulsions, aqueous extracts from medicinal plant raw materials, complex combined preparations with a liquid dispersion medium, ointments, suppositories;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lastRenderedPageBreak/>
              <w:t>draw up basic technological and instrumental schemes for the production of finished medicines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draw up a material balance and carry out calculations taking into account the consumption rates of the entire technological process by stages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draw up a technological section of the industrial regulation for the production of finished dosage forms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 xml:space="preserve">carry out step-by-step control at the stages of manufacturing the </w:t>
            </w:r>
            <w:r w:rsidRPr="00577BC8">
              <w:rPr>
                <w:sz w:val="20"/>
                <w:lang w:val="en-US"/>
              </w:rPr>
              <w:lastRenderedPageBreak/>
              <w:t>finished product and during the holiday;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to standardize DF in terms of technological and biopharmaceutical indicators in accordance with the current normative documents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make fragments of ND on LF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work independently with educational and reference literature;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ensure compliance with the rules of industrial hygiene, environmental protection, labor, safety</w:t>
            </w:r>
          </w:p>
          <w:p w:rsidR="00DC6920" w:rsidRPr="00577BC8" w:rsidRDefault="00DC6920">
            <w:pPr>
              <w:tabs>
                <w:tab w:val="left" w:pos="709"/>
              </w:tabs>
              <w:ind w:firstLine="539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lastRenderedPageBreak/>
              <w:t>in the case of use in the manufacture of drugs that are subject to quantitative accounting, registration of the reverse side of the prescription)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basic information transformation technologies: text, spreadsheet editors;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technique of working on the Internet for professional activities;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 xml:space="preserve">skills in compiling technological sections of </w:t>
            </w:r>
            <w:r w:rsidRPr="00577BC8">
              <w:rPr>
                <w:sz w:val="20"/>
                <w:lang w:val="en-US"/>
              </w:rPr>
              <w:lastRenderedPageBreak/>
              <w:t>industrial regulations for the production of finished dosage forms, including technological and instrumental schemes for the production of finished dosage forms;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develop an accounting policy, keep records of inventory items: cash and settlements, prepare reports for internal and external users of accounting information</w:t>
            </w:r>
          </w:p>
          <w:p w:rsidR="00DC6920" w:rsidRPr="00577BC8" w:rsidRDefault="00DC6920">
            <w:pPr>
              <w:tabs>
                <w:tab w:val="left" w:pos="931"/>
              </w:tabs>
              <w:ind w:left="227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DC6920" w:rsidRPr="00577BC8" w:rsidTr="00577BC8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DC6920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708"/>
                <w:tab w:val="right" w:leader="underscore" w:pos="9639"/>
              </w:tabs>
              <w:autoSpaceDE/>
              <w:snapToGrid w:val="0"/>
              <w:ind w:left="0" w:firstLine="0"/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  <w:lang w:val="en-US"/>
              </w:rPr>
              <w:t>GPC</w:t>
            </w:r>
            <w:r>
              <w:rPr>
                <w:rFonts w:cs="Times New Roman"/>
                <w:sz w:val="20"/>
                <w:szCs w:val="20"/>
              </w:rPr>
              <w:t xml:space="preserve"> -6.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577BC8">
              <w:rPr>
                <w:rFonts w:cs="Times New Roman"/>
                <w:iCs/>
                <w:sz w:val="20"/>
                <w:szCs w:val="20"/>
                <w:lang w:val="en-US"/>
              </w:rPr>
              <w:t>Able to understand the principles of operation of modern information technologies and use them to solve problems of professional activity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  <w:r w:rsidRPr="00577BC8">
              <w:rPr>
                <w:iCs/>
                <w:sz w:val="20"/>
                <w:szCs w:val="20"/>
                <w:lang w:val="en-US"/>
              </w:rPr>
              <w:t>GPC-6.2. Carries out an effective search for information necessary to solve the problems of professional activity, using legal reference systems and professional pharmaceutical databases</w:t>
            </w:r>
          </w:p>
          <w:p w:rsidR="00DC6920" w:rsidRPr="00577BC8" w:rsidRDefault="00DC6920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</w:p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  <w:r w:rsidRPr="00577BC8">
              <w:rPr>
                <w:iCs/>
                <w:sz w:val="20"/>
                <w:szCs w:val="20"/>
                <w:lang w:val="en-US"/>
              </w:rPr>
              <w:t xml:space="preserve">GPC-6.3. Uses specialized software for mathematical processing of observational and experimental data in </w:t>
            </w:r>
            <w:r w:rsidRPr="00577BC8">
              <w:rPr>
                <w:iCs/>
                <w:sz w:val="20"/>
                <w:szCs w:val="20"/>
                <w:lang w:val="en-US"/>
              </w:rPr>
              <w:lastRenderedPageBreak/>
              <w:t>solving problems of professional activity</w:t>
            </w:r>
          </w:p>
          <w:p w:rsidR="00DC6920" w:rsidRPr="00577BC8" w:rsidRDefault="00DC6920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</w:p>
          <w:p w:rsidR="00DC6920" w:rsidRPr="00577BC8" w:rsidRDefault="00DC6920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pStyle w:val="a8"/>
              <w:widowControl w:val="0"/>
              <w:numPr>
                <w:ilvl w:val="0"/>
                <w:numId w:val="2"/>
              </w:numPr>
              <w:ind w:left="15" w:hanging="15"/>
              <w:rPr>
                <w:lang w:val="en-US"/>
              </w:rPr>
            </w:pPr>
            <w:r w:rsidRPr="00577BC8">
              <w:rPr>
                <w:sz w:val="20"/>
                <w:lang w:val="en-US"/>
              </w:rPr>
              <w:lastRenderedPageBreak/>
              <w:t xml:space="preserve">technology of dosage forms obtained under the conditions of pharmaceutical production: powders, collections, granules, capsules, </w:t>
            </w:r>
            <w:proofErr w:type="spellStart"/>
            <w:r w:rsidRPr="00577BC8">
              <w:rPr>
                <w:sz w:val="20"/>
                <w:lang w:val="en-US"/>
              </w:rPr>
              <w:t>microgranules</w:t>
            </w:r>
            <w:proofErr w:type="spellEnd"/>
            <w:r w:rsidRPr="00577BC8">
              <w:rPr>
                <w:sz w:val="20"/>
                <w:lang w:val="en-US"/>
              </w:rPr>
              <w:t xml:space="preserve">, microcapsules, </w:t>
            </w:r>
            <w:proofErr w:type="spellStart"/>
            <w:r w:rsidRPr="00577BC8">
              <w:rPr>
                <w:sz w:val="20"/>
                <w:lang w:val="en-US"/>
              </w:rPr>
              <w:t>dragees</w:t>
            </w:r>
            <w:proofErr w:type="spellEnd"/>
            <w:r w:rsidRPr="00577BC8">
              <w:rPr>
                <w:sz w:val="20"/>
                <w:lang w:val="en-US"/>
              </w:rPr>
              <w:t xml:space="preserve">, tablets, aqueous solutions for internal and external use, solutions in </w:t>
            </w:r>
            <w:r w:rsidRPr="00577BC8">
              <w:rPr>
                <w:sz w:val="20"/>
                <w:lang w:val="en-US"/>
              </w:rPr>
              <w:lastRenderedPageBreak/>
              <w:t>viscous and volatile solvents, syrups, aromatic waters, tinctures, extracts , ophthalmic dosage forms, solutions for injections and infusions, suspensions for enteral and parenteral use, emulsions for enteral and parenteral use, ointments, suppositories, patches, pencils, films, aerosols;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2"/>
              </w:numPr>
              <w:ind w:left="15" w:hanging="15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 xml:space="preserve">technology for the manufacture of medicines in a pharmacy: powders, aqueous solutions for internal and external use, solutions in viscous and volatile solvents, ophthalmic dosage forms, solutions for injections and infusions, suspensions for </w:t>
            </w:r>
            <w:proofErr w:type="spellStart"/>
            <w:r w:rsidRPr="00577BC8">
              <w:rPr>
                <w:sz w:val="20"/>
                <w:lang w:val="en-US"/>
              </w:rPr>
              <w:t>entheal</w:t>
            </w:r>
            <w:proofErr w:type="spellEnd"/>
            <w:r w:rsidRPr="00577BC8">
              <w:rPr>
                <w:sz w:val="20"/>
                <w:lang w:val="en-US"/>
              </w:rPr>
              <w:t xml:space="preserve"> and parenteral use, emulsions, aqueous extracts from medicinal plant raw materials, complex combined preparations with a liquid dispersion medium, ointments, suppositories;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lastRenderedPageBreak/>
              <w:t>draw up basic technological and instrumental schemes for the production of finished medicines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draw up a material balance and carry out calculations taking into account the consumption rates of the entire technological process by stages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 xml:space="preserve">draw up a technological section of the industrial </w:t>
            </w:r>
            <w:r w:rsidRPr="00577BC8">
              <w:rPr>
                <w:sz w:val="20"/>
                <w:lang w:val="en-US"/>
              </w:rPr>
              <w:lastRenderedPageBreak/>
              <w:t>regulation for the production of finished dosage forms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carry out step-by-step control at the stages of manufacturing the finished product and during the holiday;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to standardize DF in terms of technological and biopharmaceutical indicators in accordance with the current normative documents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make fragments of ND on LF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work independently with educational and reference literature;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ensure compliance with the rules of industrial hygiene, environmental protection, labor, safety</w:t>
            </w:r>
          </w:p>
          <w:p w:rsidR="00DC6920" w:rsidRPr="00577BC8" w:rsidRDefault="00DC6920">
            <w:pPr>
              <w:tabs>
                <w:tab w:val="left" w:pos="709"/>
              </w:tabs>
              <w:ind w:firstLine="539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lastRenderedPageBreak/>
              <w:t>in the case of use in the manufacture of drugs that are subject to quantitative accounting, registration of the reverse side of the prescription)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basic information transformation technologies: text, spreadsheet editors;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 xml:space="preserve">technique of </w:t>
            </w:r>
            <w:r w:rsidRPr="00577BC8">
              <w:rPr>
                <w:sz w:val="20"/>
                <w:lang w:val="en-US"/>
              </w:rPr>
              <w:lastRenderedPageBreak/>
              <w:t>working on the Internet for professional activities;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skills in compiling technological sections of industrial regulations for the production of finished dosage forms, including technological and instrumental schemes for the production of finished dosage forms;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develop an accounting policy, keep records of inventory items: cash and settlements, prepare reports for internal and external users of accounting information</w:t>
            </w:r>
          </w:p>
          <w:p w:rsidR="00DC6920" w:rsidRPr="00577BC8" w:rsidRDefault="00DC6920">
            <w:pPr>
              <w:tabs>
                <w:tab w:val="left" w:pos="931"/>
              </w:tabs>
              <w:ind w:left="227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DC6920" w:rsidRPr="00577BC8" w:rsidTr="00577BC8">
        <w:trPr>
          <w:trHeight w:val="34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DC6920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708"/>
                <w:tab w:val="right" w:leader="underscore" w:pos="9639"/>
              </w:tabs>
              <w:autoSpaceDE/>
              <w:snapToGrid w:val="0"/>
              <w:ind w:left="0" w:firstLine="0"/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PC-1.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577BC8">
              <w:rPr>
                <w:sz w:val="20"/>
                <w:szCs w:val="20"/>
                <w:lang w:val="en-US"/>
              </w:rPr>
              <w:t>Capable of manufacturing medicines for medical use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  <w:lang w:val="en-US"/>
              </w:rPr>
            </w:pPr>
            <w:r w:rsidRPr="00577BC8">
              <w:rPr>
                <w:sz w:val="20"/>
                <w:szCs w:val="20"/>
                <w:lang w:val="en-US"/>
              </w:rPr>
              <w:t xml:space="preserve">PC-1.1. Carries out activities to prepare the workplace, technological equipment, medicinal and excipients for the manufacture of medicinal products in accordance with prescriptions and </w:t>
            </w:r>
            <w:r w:rsidRPr="00577BC8">
              <w:rPr>
                <w:sz w:val="20"/>
                <w:szCs w:val="20"/>
                <w:lang w:val="en-US"/>
              </w:rPr>
              <w:lastRenderedPageBreak/>
              <w:t>(or) requirements</w:t>
            </w:r>
          </w:p>
          <w:p w:rsidR="00DC6920" w:rsidRPr="00577BC8" w:rsidRDefault="00DC6920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</w:p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  <w:lang w:val="en-US"/>
              </w:rPr>
            </w:pPr>
            <w:r w:rsidRPr="00577BC8">
              <w:rPr>
                <w:sz w:val="20"/>
                <w:szCs w:val="20"/>
                <w:lang w:val="en-US"/>
              </w:rPr>
              <w:t>PC-1.2. Produces medicinal products in accordance with established rules and taking into account the compatibility of medicinal and excipients, controlling quality at all stages of the technological process</w:t>
            </w:r>
          </w:p>
          <w:p w:rsidR="00DC6920" w:rsidRPr="00577BC8" w:rsidRDefault="00DC6920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</w:p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  <w:r w:rsidRPr="00577BC8">
              <w:rPr>
                <w:sz w:val="20"/>
                <w:szCs w:val="20"/>
                <w:lang w:val="en-US"/>
              </w:rPr>
              <w:t>PC-1.3. Packs, labels and (or) issues manufactured medicinal products for dispensing</w:t>
            </w:r>
          </w:p>
          <w:p w:rsidR="00DC6920" w:rsidRPr="00577BC8" w:rsidRDefault="00DC6920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</w:p>
          <w:p w:rsidR="00DC6920" w:rsidRPr="00577BC8" w:rsidRDefault="00577BC8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  <w:lang w:val="en-US"/>
              </w:rPr>
            </w:pPr>
            <w:r w:rsidRPr="00577BC8">
              <w:rPr>
                <w:sz w:val="20"/>
                <w:szCs w:val="20"/>
                <w:lang w:val="en-US"/>
              </w:rPr>
              <w:t>PC-1.4. Registers data on the manufacture of medicinal products in the prescribed manner, including keeping a subject-quantitative record of groups of medicinal products and other substances subject to such accounting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pStyle w:val="a8"/>
              <w:widowControl w:val="0"/>
              <w:numPr>
                <w:ilvl w:val="0"/>
                <w:numId w:val="2"/>
              </w:numPr>
              <w:ind w:left="15" w:hanging="15"/>
              <w:rPr>
                <w:lang w:val="en-US"/>
              </w:rPr>
            </w:pPr>
            <w:r w:rsidRPr="00577BC8">
              <w:rPr>
                <w:sz w:val="20"/>
                <w:lang w:val="en-US"/>
              </w:rPr>
              <w:lastRenderedPageBreak/>
              <w:t xml:space="preserve">technology of dosage forms obtained under the conditions of pharmaceutical production: powders, collections, granules, capsules, </w:t>
            </w:r>
            <w:proofErr w:type="spellStart"/>
            <w:r w:rsidRPr="00577BC8">
              <w:rPr>
                <w:sz w:val="20"/>
                <w:lang w:val="en-US"/>
              </w:rPr>
              <w:lastRenderedPageBreak/>
              <w:t>microgranules</w:t>
            </w:r>
            <w:proofErr w:type="spellEnd"/>
            <w:r w:rsidRPr="00577BC8">
              <w:rPr>
                <w:sz w:val="20"/>
                <w:lang w:val="en-US"/>
              </w:rPr>
              <w:t xml:space="preserve">, microcapsules, </w:t>
            </w:r>
            <w:proofErr w:type="spellStart"/>
            <w:r w:rsidRPr="00577BC8">
              <w:rPr>
                <w:sz w:val="20"/>
                <w:lang w:val="en-US"/>
              </w:rPr>
              <w:t>dragees</w:t>
            </w:r>
            <w:proofErr w:type="spellEnd"/>
            <w:r w:rsidRPr="00577BC8">
              <w:rPr>
                <w:sz w:val="20"/>
                <w:lang w:val="en-US"/>
              </w:rPr>
              <w:t>, tablets, aqueous solutions for internal and external use, solutions in viscous and volatile solvents, syrups, aromatic waters, tinctures, extracts , ophthalmic dosage forms, solutions for injections and infusions, suspensions for enteral and parenteral use, emulsions for enteral and parenteral use, ointments, suppositories, patches, pencils, films, aerosols;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2"/>
              </w:numPr>
              <w:ind w:left="15" w:hanging="15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 xml:space="preserve">technology for the manufacture of medicines in a pharmacy: powders, aqueous solutions for internal and external use, solutions in viscous and volatile solvents, ophthalmic dosage forms, solutions for injections and infusions, suspensions for </w:t>
            </w:r>
            <w:proofErr w:type="spellStart"/>
            <w:r w:rsidRPr="00577BC8">
              <w:rPr>
                <w:sz w:val="20"/>
                <w:lang w:val="en-US"/>
              </w:rPr>
              <w:t>entheal</w:t>
            </w:r>
            <w:proofErr w:type="spellEnd"/>
            <w:r w:rsidRPr="00577BC8">
              <w:rPr>
                <w:sz w:val="20"/>
                <w:lang w:val="en-US"/>
              </w:rPr>
              <w:t xml:space="preserve"> and parenteral use, emulsions, aqueous extracts from medicinal plant raw materials, complex combined preparations with a liquid dispersion medium, ointments, suppositories;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lastRenderedPageBreak/>
              <w:t>draw up basic technological and instrumental schemes for the production of finished medicines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 xml:space="preserve">draw up a material balance and carry out calculations taking into account the </w:t>
            </w:r>
            <w:r w:rsidRPr="00577BC8">
              <w:rPr>
                <w:sz w:val="20"/>
                <w:lang w:val="en-US"/>
              </w:rPr>
              <w:lastRenderedPageBreak/>
              <w:t>consumption rates of the entire technological process by stages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draw up a technological section of the industrial regulation for the production of finished dosage forms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carry out step-by-step control at the stages of manufacturing the finished product and during the holiday;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to standardize DF in terms of technological and biopharmaceutical indicators in accordance with the current normative documents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make fragments of ND on LF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work independently with educational and reference literature;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ensure compliance with the rules of industrial hygiene, environmental protection, labor, safety</w:t>
            </w:r>
          </w:p>
          <w:p w:rsidR="00DC6920" w:rsidRPr="00577BC8" w:rsidRDefault="00DC6920">
            <w:pPr>
              <w:tabs>
                <w:tab w:val="left" w:pos="709"/>
              </w:tabs>
              <w:ind w:firstLine="539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lastRenderedPageBreak/>
              <w:t>in the case of use in the manufacture of drugs that are subject to quantitative accounting, registration of the reverse side of the prescription)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lastRenderedPageBreak/>
              <w:t>basic information transformation technologies: text, spreadsheet editors;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technique of working on the Internet for professional activities;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skills in compiling technological sections of industrial regulations for the production of finished dosage forms, including technological and instrumental schemes for the production of finished dosage forms;</w:t>
            </w:r>
          </w:p>
          <w:p w:rsidR="00DC6920" w:rsidRPr="00577BC8" w:rsidRDefault="00577BC8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82"/>
                <w:tab w:val="left" w:pos="195"/>
              </w:tabs>
              <w:ind w:left="82" w:hanging="82"/>
              <w:jc w:val="both"/>
              <w:rPr>
                <w:sz w:val="20"/>
                <w:lang w:val="en-US"/>
              </w:rPr>
            </w:pPr>
            <w:r w:rsidRPr="00577BC8">
              <w:rPr>
                <w:sz w:val="20"/>
                <w:lang w:val="en-US"/>
              </w:rPr>
              <w:t>develop an accounting policy, keep records of inventory items: cash and settlements, prepare reports for internal and external users of accounting information</w:t>
            </w:r>
          </w:p>
          <w:p w:rsidR="00DC6920" w:rsidRPr="00577BC8" w:rsidRDefault="00DC6920">
            <w:pPr>
              <w:tabs>
                <w:tab w:val="left" w:pos="931"/>
              </w:tabs>
              <w:ind w:left="227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:rsidR="00DC6920" w:rsidRPr="00577BC8" w:rsidRDefault="00DC6920">
      <w:pPr>
        <w:tabs>
          <w:tab w:val="left" w:pos="708"/>
          <w:tab w:val="right" w:pos="9639"/>
        </w:tabs>
        <w:ind w:firstLine="539"/>
        <w:jc w:val="both"/>
        <w:rPr>
          <w:lang w:val="en-US"/>
        </w:rPr>
      </w:pPr>
    </w:p>
    <w:p w:rsidR="00DC6920" w:rsidRPr="00577BC8" w:rsidRDefault="00DC6920">
      <w:pPr>
        <w:tabs>
          <w:tab w:val="left" w:pos="708"/>
          <w:tab w:val="right" w:leader="underscore" w:pos="9639"/>
        </w:tabs>
        <w:ind w:firstLine="539"/>
        <w:jc w:val="both"/>
        <w:rPr>
          <w:bCs/>
          <w:lang w:val="en-US"/>
        </w:rPr>
      </w:pPr>
    </w:p>
    <w:p w:rsidR="00DC6920" w:rsidRPr="00577BC8" w:rsidRDefault="00DC6920">
      <w:pPr>
        <w:tabs>
          <w:tab w:val="left" w:pos="708"/>
          <w:tab w:val="right" w:leader="underscore" w:pos="9639"/>
        </w:tabs>
        <w:ind w:firstLine="539"/>
        <w:jc w:val="both"/>
        <w:rPr>
          <w:bCs/>
          <w:lang w:val="en-US"/>
        </w:rPr>
      </w:pPr>
    </w:p>
    <w:p w:rsidR="00DC6920" w:rsidRPr="00577BC8" w:rsidRDefault="00DC6920">
      <w:pPr>
        <w:tabs>
          <w:tab w:val="left" w:pos="708"/>
          <w:tab w:val="right" w:leader="underscore" w:pos="9639"/>
        </w:tabs>
        <w:ind w:firstLine="539"/>
        <w:jc w:val="both"/>
        <w:rPr>
          <w:bCs/>
          <w:lang w:val="en-US"/>
        </w:rPr>
      </w:pPr>
    </w:p>
    <w:p w:rsidR="00DC6920" w:rsidRPr="00577BC8" w:rsidRDefault="00DC6920">
      <w:pPr>
        <w:tabs>
          <w:tab w:val="left" w:pos="708"/>
          <w:tab w:val="right" w:leader="underscore" w:pos="9639"/>
        </w:tabs>
        <w:ind w:firstLine="539"/>
        <w:jc w:val="both"/>
        <w:rPr>
          <w:bCs/>
          <w:lang w:val="en-US"/>
        </w:rPr>
      </w:pPr>
    </w:p>
    <w:p w:rsidR="00DC6920" w:rsidRPr="00577BC8" w:rsidRDefault="00DC6920">
      <w:pPr>
        <w:tabs>
          <w:tab w:val="left" w:pos="708"/>
          <w:tab w:val="right" w:leader="underscore" w:pos="9639"/>
        </w:tabs>
        <w:ind w:firstLine="539"/>
        <w:jc w:val="both"/>
        <w:rPr>
          <w:bCs/>
          <w:lang w:val="en-US"/>
        </w:rPr>
      </w:pPr>
    </w:p>
    <w:p w:rsidR="00DC6920" w:rsidRPr="00577BC8" w:rsidRDefault="00DC6920">
      <w:pPr>
        <w:tabs>
          <w:tab w:val="left" w:pos="708"/>
          <w:tab w:val="right" w:leader="underscore" w:pos="9639"/>
        </w:tabs>
        <w:ind w:firstLine="539"/>
        <w:jc w:val="both"/>
        <w:rPr>
          <w:bCs/>
          <w:lang w:val="en-US"/>
        </w:rPr>
      </w:pPr>
    </w:p>
    <w:p w:rsidR="00DC6920" w:rsidRPr="00577BC8" w:rsidRDefault="00577BC8">
      <w:pPr>
        <w:tabs>
          <w:tab w:val="left" w:pos="709"/>
        </w:tabs>
        <w:ind w:firstLine="709"/>
        <w:rPr>
          <w:rStyle w:val="FontStyle55"/>
          <w:bCs/>
          <w:sz w:val="24"/>
          <w:lang w:val="en-US"/>
        </w:rPr>
      </w:pPr>
      <w:r w:rsidRPr="00577BC8">
        <w:rPr>
          <w:rFonts w:cs="Times New Roman"/>
          <w:b/>
          <w:color w:val="000000"/>
          <w:lang w:val="en-US"/>
        </w:rPr>
        <w:t>4.</w:t>
      </w:r>
      <w:r w:rsidRPr="00577BC8">
        <w:rPr>
          <w:rStyle w:val="FontStyle55"/>
          <w:bCs/>
          <w:sz w:val="24"/>
          <w:lang w:val="en-US"/>
        </w:rPr>
        <w:t>Volume of academic discipline and types of educational work</w:t>
      </w:r>
    </w:p>
    <w:p w:rsidR="00DC6920" w:rsidRPr="00577BC8" w:rsidRDefault="00DC6920">
      <w:pPr>
        <w:tabs>
          <w:tab w:val="left" w:pos="709"/>
        </w:tabs>
        <w:ind w:firstLine="709"/>
        <w:rPr>
          <w:rStyle w:val="FontStyle55"/>
          <w:bCs/>
          <w:sz w:val="24"/>
          <w:lang w:val="en-US"/>
        </w:rPr>
      </w:pPr>
    </w:p>
    <w:p w:rsidR="00DC6920" w:rsidRPr="00577BC8" w:rsidRDefault="00577BC8">
      <w:pPr>
        <w:tabs>
          <w:tab w:val="left" w:pos="709"/>
        </w:tabs>
        <w:rPr>
          <w:lang w:val="en-US"/>
        </w:rPr>
      </w:pPr>
      <w:r w:rsidRPr="00577BC8">
        <w:rPr>
          <w:rStyle w:val="FontStyle54"/>
          <w:bCs/>
          <w:sz w:val="24"/>
          <w:lang w:val="en-US"/>
        </w:rPr>
        <w:tab/>
      </w:r>
      <w:r w:rsidRPr="00577BC8">
        <w:rPr>
          <w:rStyle w:val="FontStyle54"/>
          <w:sz w:val="24"/>
          <w:lang w:val="en-US"/>
        </w:rPr>
        <w:t>The total complexity of the discipline is 3 credits. units (108 academic hours)</w:t>
      </w:r>
    </w:p>
    <w:tbl>
      <w:tblPr>
        <w:tblW w:w="9474" w:type="dxa"/>
        <w:jc w:val="center"/>
        <w:tblLayout w:type="fixed"/>
        <w:tblLook w:val="04A0" w:firstRow="1" w:lastRow="0" w:firstColumn="1" w:lastColumn="0" w:noHBand="0" w:noVBand="1"/>
      </w:tblPr>
      <w:tblGrid>
        <w:gridCol w:w="5002"/>
        <w:gridCol w:w="1627"/>
        <w:gridCol w:w="1496"/>
        <w:gridCol w:w="1349"/>
      </w:tblGrid>
      <w:tr w:rsidR="00DC6920" w:rsidRPr="00577BC8">
        <w:trPr>
          <w:jc w:val="center"/>
        </w:trPr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Type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of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study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work</w:t>
            </w:r>
            <w:proofErr w:type="spellEnd"/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Labor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intensity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Pr="00577BC8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  <w:lang w:val="en-US"/>
              </w:rPr>
            </w:pPr>
            <w:r w:rsidRPr="00577BC8">
              <w:rPr>
                <w:rFonts w:cs="Times New Roman"/>
                <w:bCs/>
                <w:lang w:val="en-US"/>
              </w:rPr>
              <w:t>Labor intensity by semesters (</w:t>
            </w:r>
            <w:proofErr w:type="spellStart"/>
            <w:r w:rsidRPr="00577BC8">
              <w:rPr>
                <w:rFonts w:cs="Times New Roman"/>
                <w:bCs/>
                <w:lang w:val="en-US"/>
              </w:rPr>
              <w:t>ACh</w:t>
            </w:r>
            <w:proofErr w:type="spellEnd"/>
            <w:r w:rsidRPr="00577BC8">
              <w:rPr>
                <w:rFonts w:cs="Times New Roman"/>
                <w:bCs/>
                <w:lang w:val="en-US"/>
              </w:rPr>
              <w:t>)</w:t>
            </w:r>
          </w:p>
        </w:tc>
      </w:tr>
      <w:tr w:rsidR="00DC6920" w:rsidRPr="00577BC8">
        <w:trPr>
          <w:trHeight w:val="1160"/>
          <w:jc w:val="center"/>
        </w:trPr>
        <w:tc>
          <w:tcPr>
            <w:tcW w:w="5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Pr="00577BC8" w:rsidRDefault="00DC6920">
            <w:pPr>
              <w:snapToGrid w:val="0"/>
              <w:rPr>
                <w:rFonts w:cs="Times New Roman"/>
                <w:bCs/>
                <w:lang w:val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Pr="00577BC8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  <w:lang w:val="en-US"/>
              </w:rPr>
            </w:pPr>
            <w:r w:rsidRPr="00577BC8">
              <w:rPr>
                <w:rFonts w:cs="Times New Roman"/>
                <w:bCs/>
                <w:lang w:val="en-US"/>
              </w:rPr>
              <w:t>volume in credit units (CU)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Pr="00577BC8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  <w:lang w:val="en-US"/>
              </w:rPr>
            </w:pPr>
            <w:r w:rsidRPr="00577BC8">
              <w:rPr>
                <w:rFonts w:cs="Times New Roman"/>
                <w:bCs/>
                <w:lang w:val="en-US"/>
              </w:rPr>
              <w:t>volume in academic hours (AH)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Pr="00577BC8" w:rsidRDefault="00DC6920">
            <w:pPr>
              <w:snapToGrid w:val="0"/>
              <w:rPr>
                <w:rFonts w:cs="Times New Roman"/>
                <w:bCs/>
                <w:lang w:val="en-US"/>
              </w:rPr>
            </w:pPr>
          </w:p>
        </w:tc>
      </w:tr>
      <w:tr w:rsidR="00DC6920">
        <w:trPr>
          <w:jc w:val="center"/>
        </w:trPr>
        <w:tc>
          <w:tcPr>
            <w:tcW w:w="5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Pr="00577BC8" w:rsidRDefault="00DC6920">
            <w:pPr>
              <w:snapToGrid w:val="0"/>
              <w:rPr>
                <w:rFonts w:cs="Times New Roman"/>
                <w:bCs/>
                <w:lang w:val="en-US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Pr="00577BC8" w:rsidRDefault="00DC6920">
            <w:pPr>
              <w:snapToGrid w:val="0"/>
              <w:rPr>
                <w:rFonts w:cs="Times New Roman"/>
                <w:bCs/>
                <w:lang w:val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Pr="00577BC8" w:rsidRDefault="00DC6920">
            <w:pPr>
              <w:snapToGrid w:val="0"/>
              <w:rPr>
                <w:rFonts w:cs="Times New Roman"/>
                <w:bCs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</w:tr>
      <w:tr w:rsidR="00DC6920">
        <w:trPr>
          <w:jc w:val="center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both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Classroom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activities</w:t>
            </w:r>
            <w:proofErr w:type="spellEnd"/>
            <w:r>
              <w:rPr>
                <w:rFonts w:cs="Times New Roman"/>
                <w:bCs/>
              </w:rPr>
              <w:t xml:space="preserve"> (</w:t>
            </w:r>
            <w:proofErr w:type="spellStart"/>
            <w:r>
              <w:rPr>
                <w:rFonts w:cs="Times New Roman"/>
                <w:bCs/>
              </w:rPr>
              <w:t>total</w:t>
            </w:r>
            <w:proofErr w:type="spellEnd"/>
            <w:r>
              <w:rPr>
                <w:rFonts w:cs="Times New Roman"/>
                <w:bCs/>
              </w:rPr>
              <w:t>):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not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provided</w:t>
            </w:r>
            <w:proofErr w:type="spellEnd"/>
          </w:p>
        </w:tc>
      </w:tr>
      <w:tr w:rsidR="00DC6920">
        <w:trPr>
          <w:jc w:val="center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ind w:left="164"/>
              <w:jc w:val="both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Lectures</w:t>
            </w:r>
            <w:proofErr w:type="spellEnd"/>
            <w:r>
              <w:rPr>
                <w:rFonts w:cs="Times New Roman"/>
                <w:bCs/>
              </w:rPr>
              <w:t xml:space="preserve"> (L)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not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provided</w:t>
            </w:r>
            <w:proofErr w:type="spellEnd"/>
          </w:p>
        </w:tc>
      </w:tr>
      <w:tr w:rsidR="00DC6920">
        <w:trPr>
          <w:jc w:val="center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ind w:left="164"/>
              <w:jc w:val="both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Practical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exercises</w:t>
            </w:r>
            <w:proofErr w:type="spellEnd"/>
            <w:r>
              <w:rPr>
                <w:rFonts w:cs="Times New Roman"/>
                <w:bCs/>
              </w:rPr>
              <w:t xml:space="preserve"> (PZ)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bCs/>
              </w:rPr>
              <w:t>not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provided</w:t>
            </w:r>
            <w:proofErr w:type="spellEnd"/>
          </w:p>
        </w:tc>
      </w:tr>
      <w:tr w:rsidR="00DC6920">
        <w:trPr>
          <w:jc w:val="center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ind w:left="164"/>
              <w:jc w:val="both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Seminars</w:t>
            </w:r>
            <w:proofErr w:type="spellEnd"/>
            <w:r>
              <w:rPr>
                <w:rFonts w:cs="Times New Roman"/>
                <w:bCs/>
              </w:rPr>
              <w:t xml:space="preserve"> (C)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bCs/>
              </w:rPr>
              <w:t>not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provided</w:t>
            </w:r>
            <w:proofErr w:type="spellEnd"/>
          </w:p>
        </w:tc>
      </w:tr>
      <w:tr w:rsidR="00DC6920">
        <w:trPr>
          <w:jc w:val="center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Pr="00577BC8" w:rsidRDefault="00577BC8">
            <w:pPr>
              <w:tabs>
                <w:tab w:val="right" w:leader="underscore" w:pos="9639"/>
              </w:tabs>
              <w:ind w:left="164"/>
              <w:jc w:val="both"/>
              <w:rPr>
                <w:rFonts w:cs="Times New Roman"/>
                <w:bCs/>
                <w:lang w:val="en-US"/>
              </w:rPr>
            </w:pPr>
            <w:r w:rsidRPr="00577BC8">
              <w:rPr>
                <w:rFonts w:cs="Times New Roman"/>
                <w:bCs/>
                <w:lang w:val="en-US"/>
              </w:rPr>
              <w:t>Consultation with practice leader (C)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not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provided</w:t>
            </w:r>
            <w:proofErr w:type="spellEnd"/>
          </w:p>
        </w:tc>
      </w:tr>
      <w:tr w:rsidR="00DC6920">
        <w:trPr>
          <w:jc w:val="center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both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Independent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work</w:t>
            </w:r>
            <w:proofErr w:type="spellEnd"/>
            <w:r>
              <w:rPr>
                <w:rFonts w:cs="Times New Roman"/>
                <w:bCs/>
              </w:rPr>
              <w:t xml:space="preserve"> (SR)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  <w:highlight w:val="yellow"/>
              </w:rPr>
            </w:pPr>
            <w:r>
              <w:rPr>
                <w:rFonts w:cs="Times New Roman"/>
                <w:bCs/>
              </w:rPr>
              <w:t>108</w:t>
            </w:r>
          </w:p>
        </w:tc>
      </w:tr>
      <w:tr w:rsidR="00DC6920">
        <w:trPr>
          <w:jc w:val="center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both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Intermediate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certification</w:t>
            </w:r>
            <w:proofErr w:type="spellEnd"/>
            <w:r>
              <w:rPr>
                <w:rFonts w:cs="Times New Roman"/>
                <w:bCs/>
              </w:rPr>
              <w:t xml:space="preserve"> (PA): </w:t>
            </w:r>
            <w:proofErr w:type="spellStart"/>
            <w:r>
              <w:rPr>
                <w:rFonts w:cs="Times New Roman"/>
                <w:bCs/>
              </w:rPr>
              <w:t>credit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DC6920">
            <w:pPr>
              <w:tabs>
                <w:tab w:val="right" w:leader="underscore" w:pos="9639"/>
              </w:tabs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DC6920">
            <w:pPr>
              <w:tabs>
                <w:tab w:val="right" w:leader="underscore" w:pos="9639"/>
              </w:tabs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DC6920">
            <w:pPr>
              <w:tabs>
                <w:tab w:val="right" w:leader="underscore" w:pos="9639"/>
              </w:tabs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DC6920">
        <w:trPr>
          <w:jc w:val="center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TOTAL LABOR CAPACITY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right" w:leader="underscore" w:pos="9639"/>
              </w:tabs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108</w:t>
            </w:r>
          </w:p>
        </w:tc>
      </w:tr>
    </w:tbl>
    <w:p w:rsidR="00DC6920" w:rsidRDefault="00DC6920">
      <w:pPr>
        <w:tabs>
          <w:tab w:val="left" w:pos="709"/>
        </w:tabs>
        <w:rPr>
          <w:rStyle w:val="FontStyle54"/>
          <w:sz w:val="24"/>
        </w:rPr>
      </w:pPr>
    </w:p>
    <w:p w:rsidR="00DC6920" w:rsidRDefault="00DC6920">
      <w:pPr>
        <w:tabs>
          <w:tab w:val="left" w:pos="709"/>
        </w:tabs>
        <w:rPr>
          <w:rStyle w:val="FontStyle54"/>
          <w:sz w:val="24"/>
        </w:rPr>
      </w:pPr>
    </w:p>
    <w:p w:rsidR="00DC6920" w:rsidRPr="00577BC8" w:rsidRDefault="00577BC8">
      <w:pPr>
        <w:numPr>
          <w:ilvl w:val="0"/>
          <w:numId w:val="3"/>
        </w:numPr>
        <w:rPr>
          <w:rFonts w:cs="Times New Roman"/>
          <w:b/>
          <w:bCs/>
          <w:lang w:val="en-US"/>
        </w:rPr>
      </w:pPr>
      <w:r w:rsidRPr="00577BC8">
        <w:rPr>
          <w:rFonts w:cs="Times New Roman"/>
          <w:b/>
          <w:bCs/>
          <w:lang w:val="en-US"/>
        </w:rPr>
        <w:t>Sections of the discipline and formed competencies</w:t>
      </w:r>
    </w:p>
    <w:p w:rsidR="00DC6920" w:rsidRPr="00577BC8" w:rsidRDefault="00DC6920">
      <w:pPr>
        <w:rPr>
          <w:rFonts w:cs="Times New Roman"/>
          <w:b/>
          <w:bCs/>
          <w:lang w:val="en-US"/>
        </w:rPr>
      </w:pP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584"/>
        <w:gridCol w:w="2942"/>
        <w:gridCol w:w="5895"/>
      </w:tblGrid>
      <w:tr w:rsidR="00DC6920" w:rsidRPr="00577BC8">
        <w:trPr>
          <w:trHeight w:val="82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Default="00577BC8">
            <w:pPr>
              <w:ind w:left="-57" w:right="-57"/>
              <w:jc w:val="center"/>
            </w:pPr>
            <w:proofErr w:type="spellStart"/>
            <w:r>
              <w:t>No</w:t>
            </w:r>
            <w:proofErr w:type="spellEnd"/>
            <w:r>
              <w:t>. p / 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Default="00577BC8">
            <w:pPr>
              <w:ind w:left="-57" w:right="-57"/>
              <w:jc w:val="center"/>
            </w:pPr>
            <w:proofErr w:type="spellStart"/>
            <w:r>
              <w:t>Competency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20" w:rsidRPr="00577BC8" w:rsidRDefault="00577BC8">
            <w:pPr>
              <w:ind w:left="-57" w:right="-57"/>
              <w:jc w:val="center"/>
              <w:rPr>
                <w:lang w:val="en-US"/>
              </w:rPr>
            </w:pPr>
            <w:r w:rsidRPr="00577BC8">
              <w:rPr>
                <w:lang w:val="en-US"/>
              </w:rPr>
              <w:t>Name of the discipline section</w:t>
            </w:r>
          </w:p>
        </w:tc>
      </w:tr>
      <w:tr w:rsidR="00DC6920">
        <w:trPr>
          <w:trHeight w:val="2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autoSpaceDE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rPr>
                <w:rFonts w:cs="Times New Roman"/>
                <w:iCs/>
              </w:rPr>
            </w:pPr>
            <w:r>
              <w:rPr>
                <w:rFonts w:cs="Times New Roman"/>
                <w:iCs/>
                <w:sz w:val="20"/>
                <w:szCs w:val="20"/>
                <w:lang w:val="en-US"/>
              </w:rPr>
              <w:t>GPC</w:t>
            </w:r>
            <w:r>
              <w:rPr>
                <w:rFonts w:cs="Times New Roman"/>
                <w:iCs/>
              </w:rPr>
              <w:t xml:space="preserve"> -1.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rPr>
                <w:rFonts w:cs="Times New Roman"/>
                <w:iCs/>
              </w:rPr>
            </w:pPr>
            <w:proofErr w:type="spellStart"/>
            <w:r>
              <w:rPr>
                <w:rFonts w:cs="Times New Roman"/>
                <w:bCs/>
              </w:rPr>
              <w:t>pharmaceutical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technology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practice</w:t>
            </w:r>
            <w:proofErr w:type="spellEnd"/>
          </w:p>
        </w:tc>
      </w:tr>
      <w:tr w:rsidR="00DC6920">
        <w:trPr>
          <w:trHeight w:val="27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autoSpaceDE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rPr>
                <w:rFonts w:cs="Times New Roman"/>
                <w:iCs/>
              </w:rPr>
            </w:pPr>
            <w:r>
              <w:rPr>
                <w:rFonts w:cs="Times New Roman"/>
                <w:iCs/>
                <w:sz w:val="20"/>
                <w:szCs w:val="20"/>
                <w:lang w:val="en-US"/>
              </w:rPr>
              <w:t>GPC</w:t>
            </w:r>
            <w:r>
              <w:rPr>
                <w:rFonts w:cs="Times New Roman"/>
                <w:iCs/>
              </w:rPr>
              <w:t xml:space="preserve"> -2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</w:pPr>
            <w:proofErr w:type="spellStart"/>
            <w:r>
              <w:rPr>
                <w:rFonts w:cs="Times New Roman"/>
                <w:bCs/>
              </w:rPr>
              <w:t>pharmaceutical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technology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practice</w:t>
            </w:r>
            <w:proofErr w:type="spellEnd"/>
          </w:p>
        </w:tc>
      </w:tr>
      <w:tr w:rsidR="00DC6920">
        <w:trPr>
          <w:trHeight w:val="27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autoSpaceDE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rPr>
                <w:rFonts w:cs="Times New Roman"/>
              </w:rPr>
            </w:pPr>
            <w:r>
              <w:rPr>
                <w:rFonts w:cs="Times New Roman"/>
                <w:iCs/>
                <w:sz w:val="20"/>
                <w:szCs w:val="20"/>
                <w:lang w:val="en-US"/>
              </w:rPr>
              <w:t>GPC</w:t>
            </w:r>
            <w:r>
              <w:rPr>
                <w:rFonts w:cs="Times New Roman"/>
              </w:rPr>
              <w:t xml:space="preserve"> -6.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rPr>
                <w:rFonts w:cs="Times New Roman"/>
                <w:iCs/>
              </w:rPr>
            </w:pPr>
            <w:proofErr w:type="spellStart"/>
            <w:r>
              <w:rPr>
                <w:rFonts w:cs="Times New Roman"/>
                <w:bCs/>
              </w:rPr>
              <w:t>pharmaceutical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technology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practice</w:t>
            </w:r>
            <w:proofErr w:type="spellEnd"/>
          </w:p>
        </w:tc>
      </w:tr>
      <w:tr w:rsidR="00DC6920">
        <w:trPr>
          <w:trHeight w:val="27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autoSpaceDE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rPr>
                <w:rFonts w:cs="Times New Roman"/>
              </w:rPr>
            </w:pPr>
            <w:r>
              <w:rPr>
                <w:rFonts w:cs="Times New Roman"/>
              </w:rPr>
              <w:t>PC-1.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0" w:rsidRDefault="00577BC8">
            <w:pPr>
              <w:tabs>
                <w:tab w:val="left" w:pos="708"/>
                <w:tab w:val="right" w:leader="underscore" w:pos="9639"/>
              </w:tabs>
              <w:rPr>
                <w:rFonts w:cs="Times New Roman"/>
                <w:iCs/>
              </w:rPr>
            </w:pPr>
            <w:proofErr w:type="spellStart"/>
            <w:r>
              <w:rPr>
                <w:rFonts w:cs="Times New Roman"/>
                <w:bCs/>
              </w:rPr>
              <w:t>pharmaceutical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technology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practice</w:t>
            </w:r>
            <w:proofErr w:type="spellEnd"/>
          </w:p>
        </w:tc>
      </w:tr>
    </w:tbl>
    <w:p w:rsidR="00DC6920" w:rsidRDefault="00DC6920">
      <w:pPr>
        <w:ind w:firstLine="709"/>
        <w:rPr>
          <w:rFonts w:cs="Times New Roman"/>
          <w:b/>
          <w:bCs/>
        </w:rPr>
      </w:pPr>
    </w:p>
    <w:sectPr w:rsidR="00DC6920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A35"/>
    <w:multiLevelType w:val="multilevel"/>
    <w:tmpl w:val="27FC5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860A86"/>
    <w:multiLevelType w:val="multilevel"/>
    <w:tmpl w:val="E4A0823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8521D"/>
    <w:multiLevelType w:val="multilevel"/>
    <w:tmpl w:val="F09C51C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0176E4"/>
    <w:multiLevelType w:val="multilevel"/>
    <w:tmpl w:val="A3687C3C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D4B17"/>
    <w:multiLevelType w:val="multilevel"/>
    <w:tmpl w:val="110E86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500146"/>
    <w:multiLevelType w:val="multilevel"/>
    <w:tmpl w:val="26AA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C4333F"/>
    <w:multiLevelType w:val="multilevel"/>
    <w:tmpl w:val="90F0E7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0"/>
    <w:rsid w:val="00006D6F"/>
    <w:rsid w:val="00577BC8"/>
    <w:rsid w:val="00D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Times New Roman" w:eastAsia="Calibri" w:hAnsi="Times New Roman" w:cs="Vrinda;Courier New"/>
      <w:lang w:val="ru-RU" w:bidi="bn-I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cs="Times New Roman"/>
      <w:b/>
      <w:bCs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w w:val="99"/>
      <w:sz w:val="24"/>
      <w:szCs w:val="24"/>
      <w:lang w:val="ru-RU" w:bidi="ar-SA"/>
    </w:rPr>
  </w:style>
  <w:style w:type="character" w:customStyle="1" w:styleId="WW8Num4z1">
    <w:name w:val="WW8Num4z1"/>
    <w:qFormat/>
    <w:rPr>
      <w:lang w:val="ru-RU" w:bidi="ar-SA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FontStyle55">
    <w:name w:val="Font Style55"/>
    <w:qFormat/>
    <w:rPr>
      <w:rFonts w:ascii="Times New Roman" w:hAnsi="Times New Roman" w:cs="Times New Roman"/>
      <w:b/>
      <w:sz w:val="26"/>
    </w:rPr>
  </w:style>
  <w:style w:type="character" w:customStyle="1" w:styleId="FontStyle54">
    <w:name w:val="Font Style54"/>
    <w:qFormat/>
    <w:rPr>
      <w:rFonts w:ascii="Times New Roman" w:hAnsi="Times New Roman" w:cs="Times New Roman"/>
      <w:sz w:val="26"/>
    </w:rPr>
  </w:style>
  <w:style w:type="character" w:customStyle="1" w:styleId="FontStyle52">
    <w:name w:val="Font Style52"/>
    <w:qFormat/>
    <w:rPr>
      <w:rFonts w:ascii="Times New Roman" w:hAnsi="Times New Roman" w:cs="Times New Roman"/>
      <w:b/>
      <w:sz w:val="20"/>
    </w:rPr>
  </w:style>
  <w:style w:type="character" w:customStyle="1" w:styleId="FontStyle81">
    <w:name w:val="Font Style81"/>
    <w:qFormat/>
    <w:rPr>
      <w:rFonts w:ascii="Times New Roman" w:hAnsi="Times New Roman" w:cs="Times New Roman"/>
      <w:sz w:val="22"/>
    </w:rPr>
  </w:style>
  <w:style w:type="character" w:customStyle="1" w:styleId="FontStyle53">
    <w:name w:val="Font Style53"/>
    <w:qFormat/>
    <w:rPr>
      <w:rFonts w:ascii="Times New Roman" w:hAnsi="Times New Roman" w:cs="Times New Roman"/>
      <w:sz w:val="20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</w:rPr>
  </w:style>
  <w:style w:type="character" w:customStyle="1" w:styleId="FontStyle51">
    <w:name w:val="Font Style51"/>
    <w:qFormat/>
    <w:rPr>
      <w:rFonts w:ascii="Times New Roman" w:hAnsi="Times New Roman" w:cs="Times New Roman"/>
      <w:b/>
      <w:sz w:val="20"/>
    </w:rPr>
  </w:style>
  <w:style w:type="character" w:customStyle="1" w:styleId="FontStyle112">
    <w:name w:val="Font Style112"/>
    <w:qFormat/>
    <w:rPr>
      <w:rFonts w:ascii="Times New Roman" w:hAnsi="Times New Roman" w:cs="Times New Roman"/>
      <w:sz w:val="20"/>
    </w:rPr>
  </w:style>
  <w:style w:type="character" w:styleId="a3">
    <w:name w:val="page number"/>
    <w:rPr>
      <w:rFonts w:cs="Times New Roman"/>
    </w:rPr>
  </w:style>
  <w:style w:type="character" w:customStyle="1" w:styleId="FontStyle27">
    <w:name w:val="Font Style27"/>
    <w:qFormat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35"/>
      <w:lang w:bidi="bn-I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rmal (Web)"/>
    <w:basedOn w:val="a"/>
    <w:qFormat/>
    <w:pPr>
      <w:widowControl/>
      <w:autoSpaceDE/>
      <w:spacing w:before="280" w:after="280"/>
    </w:pPr>
    <w:rPr>
      <w:rFonts w:cs="Times New Roman"/>
      <w:lang w:bidi="ar-SA"/>
    </w:rPr>
  </w:style>
  <w:style w:type="paragraph" w:customStyle="1" w:styleId="Style7">
    <w:name w:val="Style7"/>
    <w:basedOn w:val="a"/>
    <w:qFormat/>
    <w:pPr>
      <w:spacing w:line="281" w:lineRule="exact"/>
      <w:jc w:val="both"/>
    </w:pPr>
  </w:style>
  <w:style w:type="paragraph" w:customStyle="1" w:styleId="Style15">
    <w:name w:val="Style15"/>
    <w:basedOn w:val="a"/>
    <w:qFormat/>
    <w:pPr>
      <w:spacing w:line="274" w:lineRule="exact"/>
      <w:ind w:hanging="403"/>
    </w:pPr>
  </w:style>
  <w:style w:type="paragraph" w:customStyle="1" w:styleId="Style20">
    <w:name w:val="Style20"/>
    <w:basedOn w:val="a"/>
    <w:qFormat/>
    <w:pPr>
      <w:spacing w:line="276" w:lineRule="exact"/>
      <w:jc w:val="center"/>
    </w:pPr>
  </w:style>
  <w:style w:type="paragraph" w:customStyle="1" w:styleId="Style33">
    <w:name w:val="Style33"/>
    <w:basedOn w:val="a"/>
    <w:qFormat/>
  </w:style>
  <w:style w:type="paragraph" w:customStyle="1" w:styleId="Style47">
    <w:name w:val="Style47"/>
    <w:basedOn w:val="a"/>
    <w:qFormat/>
    <w:pPr>
      <w:spacing w:line="278" w:lineRule="exact"/>
      <w:jc w:val="both"/>
    </w:pPr>
  </w:style>
  <w:style w:type="paragraph" w:customStyle="1" w:styleId="-11">
    <w:name w:val="Цветной список - Акцент 11"/>
    <w:basedOn w:val="a"/>
    <w:qFormat/>
    <w:pPr>
      <w:widowControl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List Paragraph"/>
    <w:basedOn w:val="a"/>
    <w:qFormat/>
    <w:pPr>
      <w:widowControl/>
      <w:autoSpaceDE/>
      <w:ind w:left="720"/>
      <w:contextualSpacing/>
    </w:pPr>
    <w:rPr>
      <w:rFonts w:eastAsia="Times New Roman" w:cs="Tahoma"/>
      <w:sz w:val="28"/>
      <w:szCs w:val="20"/>
      <w:lang w:bidi="ar-SA"/>
    </w:rPr>
  </w:style>
  <w:style w:type="paragraph" w:customStyle="1" w:styleId="TableParagraph">
    <w:name w:val="Table Paragraph"/>
    <w:basedOn w:val="a"/>
    <w:qFormat/>
    <w:rPr>
      <w:rFonts w:eastAsia="Times New Roman" w:cs="Times New Roman"/>
      <w:sz w:val="22"/>
      <w:szCs w:val="22"/>
      <w:lang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Times New Roman" w:eastAsia="Calibri" w:hAnsi="Times New Roman" w:cs="Vrinda;Courier New"/>
      <w:lang w:val="ru-RU" w:bidi="bn-I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cs="Times New Roman"/>
      <w:b/>
      <w:bCs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w w:val="99"/>
      <w:sz w:val="24"/>
      <w:szCs w:val="24"/>
      <w:lang w:val="ru-RU" w:bidi="ar-SA"/>
    </w:rPr>
  </w:style>
  <w:style w:type="character" w:customStyle="1" w:styleId="WW8Num4z1">
    <w:name w:val="WW8Num4z1"/>
    <w:qFormat/>
    <w:rPr>
      <w:lang w:val="ru-RU" w:bidi="ar-SA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FontStyle55">
    <w:name w:val="Font Style55"/>
    <w:qFormat/>
    <w:rPr>
      <w:rFonts w:ascii="Times New Roman" w:hAnsi="Times New Roman" w:cs="Times New Roman"/>
      <w:b/>
      <w:sz w:val="26"/>
    </w:rPr>
  </w:style>
  <w:style w:type="character" w:customStyle="1" w:styleId="FontStyle54">
    <w:name w:val="Font Style54"/>
    <w:qFormat/>
    <w:rPr>
      <w:rFonts w:ascii="Times New Roman" w:hAnsi="Times New Roman" w:cs="Times New Roman"/>
      <w:sz w:val="26"/>
    </w:rPr>
  </w:style>
  <w:style w:type="character" w:customStyle="1" w:styleId="FontStyle52">
    <w:name w:val="Font Style52"/>
    <w:qFormat/>
    <w:rPr>
      <w:rFonts w:ascii="Times New Roman" w:hAnsi="Times New Roman" w:cs="Times New Roman"/>
      <w:b/>
      <w:sz w:val="20"/>
    </w:rPr>
  </w:style>
  <w:style w:type="character" w:customStyle="1" w:styleId="FontStyle81">
    <w:name w:val="Font Style81"/>
    <w:qFormat/>
    <w:rPr>
      <w:rFonts w:ascii="Times New Roman" w:hAnsi="Times New Roman" w:cs="Times New Roman"/>
      <w:sz w:val="22"/>
    </w:rPr>
  </w:style>
  <w:style w:type="character" w:customStyle="1" w:styleId="FontStyle53">
    <w:name w:val="Font Style53"/>
    <w:qFormat/>
    <w:rPr>
      <w:rFonts w:ascii="Times New Roman" w:hAnsi="Times New Roman" w:cs="Times New Roman"/>
      <w:sz w:val="20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</w:rPr>
  </w:style>
  <w:style w:type="character" w:customStyle="1" w:styleId="FontStyle51">
    <w:name w:val="Font Style51"/>
    <w:qFormat/>
    <w:rPr>
      <w:rFonts w:ascii="Times New Roman" w:hAnsi="Times New Roman" w:cs="Times New Roman"/>
      <w:b/>
      <w:sz w:val="20"/>
    </w:rPr>
  </w:style>
  <w:style w:type="character" w:customStyle="1" w:styleId="FontStyle112">
    <w:name w:val="Font Style112"/>
    <w:qFormat/>
    <w:rPr>
      <w:rFonts w:ascii="Times New Roman" w:hAnsi="Times New Roman" w:cs="Times New Roman"/>
      <w:sz w:val="20"/>
    </w:rPr>
  </w:style>
  <w:style w:type="character" w:styleId="a3">
    <w:name w:val="page number"/>
    <w:rPr>
      <w:rFonts w:cs="Times New Roman"/>
    </w:rPr>
  </w:style>
  <w:style w:type="character" w:customStyle="1" w:styleId="FontStyle27">
    <w:name w:val="Font Style27"/>
    <w:qFormat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35"/>
      <w:lang w:bidi="bn-I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rmal (Web)"/>
    <w:basedOn w:val="a"/>
    <w:qFormat/>
    <w:pPr>
      <w:widowControl/>
      <w:autoSpaceDE/>
      <w:spacing w:before="280" w:after="280"/>
    </w:pPr>
    <w:rPr>
      <w:rFonts w:cs="Times New Roman"/>
      <w:lang w:bidi="ar-SA"/>
    </w:rPr>
  </w:style>
  <w:style w:type="paragraph" w:customStyle="1" w:styleId="Style7">
    <w:name w:val="Style7"/>
    <w:basedOn w:val="a"/>
    <w:qFormat/>
    <w:pPr>
      <w:spacing w:line="281" w:lineRule="exact"/>
      <w:jc w:val="both"/>
    </w:pPr>
  </w:style>
  <w:style w:type="paragraph" w:customStyle="1" w:styleId="Style15">
    <w:name w:val="Style15"/>
    <w:basedOn w:val="a"/>
    <w:qFormat/>
    <w:pPr>
      <w:spacing w:line="274" w:lineRule="exact"/>
      <w:ind w:hanging="403"/>
    </w:pPr>
  </w:style>
  <w:style w:type="paragraph" w:customStyle="1" w:styleId="Style20">
    <w:name w:val="Style20"/>
    <w:basedOn w:val="a"/>
    <w:qFormat/>
    <w:pPr>
      <w:spacing w:line="276" w:lineRule="exact"/>
      <w:jc w:val="center"/>
    </w:pPr>
  </w:style>
  <w:style w:type="paragraph" w:customStyle="1" w:styleId="Style33">
    <w:name w:val="Style33"/>
    <w:basedOn w:val="a"/>
    <w:qFormat/>
  </w:style>
  <w:style w:type="paragraph" w:customStyle="1" w:styleId="Style47">
    <w:name w:val="Style47"/>
    <w:basedOn w:val="a"/>
    <w:qFormat/>
    <w:pPr>
      <w:spacing w:line="278" w:lineRule="exact"/>
      <w:jc w:val="both"/>
    </w:pPr>
  </w:style>
  <w:style w:type="paragraph" w:customStyle="1" w:styleId="-11">
    <w:name w:val="Цветной список - Акцент 11"/>
    <w:basedOn w:val="a"/>
    <w:qFormat/>
    <w:pPr>
      <w:widowControl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List Paragraph"/>
    <w:basedOn w:val="a"/>
    <w:qFormat/>
    <w:pPr>
      <w:widowControl/>
      <w:autoSpaceDE/>
      <w:ind w:left="720"/>
      <w:contextualSpacing/>
    </w:pPr>
    <w:rPr>
      <w:rFonts w:eastAsia="Times New Roman" w:cs="Tahoma"/>
      <w:sz w:val="28"/>
      <w:szCs w:val="20"/>
      <w:lang w:bidi="ar-SA"/>
    </w:rPr>
  </w:style>
  <w:style w:type="paragraph" w:customStyle="1" w:styleId="TableParagraph">
    <w:name w:val="Table Paragraph"/>
    <w:basedOn w:val="a"/>
    <w:qFormat/>
    <w:rPr>
      <w:rFonts w:eastAsia="Times New Roman" w:cs="Times New Roman"/>
      <w:sz w:val="22"/>
      <w:szCs w:val="22"/>
      <w:lang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Алена</dc:creator>
  <cp:lastModifiedBy>Флаксман Анна Александровна</cp:lastModifiedBy>
  <cp:revision>2</cp:revision>
  <dcterms:created xsi:type="dcterms:W3CDTF">2023-09-01T05:45:00Z</dcterms:created>
  <dcterms:modified xsi:type="dcterms:W3CDTF">2023-09-01T05:45:00Z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2023-08-31T21:42:00Z</dcterms:created>
  <dc:creator>User</dc:creator>
  <dc:description/>
  <cp:keywords> </cp:keywords>
  <dc:language>en-US</dc:language>
  <cp:lastModifiedBy>Пономарева Алена</cp:lastModifiedBy>
  <dcterms:modified xsi:type="dcterms:W3CDTF">2023-08-31T21:42:00Z</dcterms:modified>
  <cp:revision>2</cp:revision>
  <dc:subject/>
  <dc:title>Аннотация к рабочей программе  дисциплины (модуля)</dc:title>
</cp:coreProperties>
</file>